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FE" w:rsidRPr="002D141C" w:rsidRDefault="002D141C" w:rsidP="002D141C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  <w:r w:rsidRPr="002D141C">
        <w:rPr>
          <w:rFonts w:ascii="Maiandra GD" w:hAnsi="Maiandra GD"/>
          <w:i/>
          <w:sz w:val="24"/>
          <w:szCs w:val="24"/>
        </w:rPr>
        <w:t>Of Mice and Men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by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John Steinbeck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published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in 1937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2D141C">
        <w:rPr>
          <w:rFonts w:ascii="Maiandra GD" w:hAnsi="Maiandra GD"/>
          <w:sz w:val="24"/>
          <w:szCs w:val="24"/>
        </w:rPr>
        <w:t>If found, please return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this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novel to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or</w:t>
      </w:r>
      <w:proofErr w:type="gramEnd"/>
      <w:r>
        <w:rPr>
          <w:rFonts w:ascii="Maiandra GD" w:hAnsi="Maiandra GD"/>
          <w:sz w:val="24"/>
          <w:szCs w:val="24"/>
        </w:rPr>
        <w:t xml:space="preserve"> Mrs. Clay’s classroom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Room 212</w:t>
      </w:r>
    </w:p>
    <w:p w:rsidR="002D141C" w:rsidRDefault="002D141C" w:rsidP="002D141C">
      <w:pPr>
        <w:pStyle w:val="NoSpacing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  <w:r w:rsidRPr="002D141C">
        <w:rPr>
          <w:rFonts w:ascii="Maiandra GD" w:hAnsi="Maiandra GD"/>
          <w:b/>
          <w:sz w:val="24"/>
          <w:szCs w:val="24"/>
        </w:rPr>
        <w:t>Chapter 1 Annotations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Using post-it </w:t>
      </w:r>
      <w:proofErr w:type="gramStart"/>
      <w:r>
        <w:rPr>
          <w:rFonts w:ascii="Maiandra GD" w:hAnsi="Maiandra GD"/>
          <w:sz w:val="24"/>
          <w:szCs w:val="24"/>
        </w:rPr>
        <w:t>notes,</w:t>
      </w:r>
      <w:proofErr w:type="gramEnd"/>
      <w:r>
        <w:rPr>
          <w:rFonts w:ascii="Maiandra GD" w:hAnsi="Maiandra GD"/>
          <w:sz w:val="24"/>
          <w:szCs w:val="24"/>
        </w:rPr>
        <w:t xml:space="preserve"> make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at</w:t>
      </w:r>
      <w:proofErr w:type="gramEnd"/>
      <w:r>
        <w:rPr>
          <w:rFonts w:ascii="Maiandra GD" w:hAnsi="Maiandra GD"/>
          <w:sz w:val="24"/>
          <w:szCs w:val="24"/>
        </w:rPr>
        <w:t xml:space="preserve"> least 10 annotations on the two main characters: George and Lennie.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Look for details about their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appearance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actions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dialogue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strengths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weaknesses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mannerisms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,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habits/quirks/idiosyncrasies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,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and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relationships to others</w:t>
      </w:r>
      <w:r>
        <w:rPr>
          <w:rFonts w:ascii="Maiandra GD" w:hAnsi="Maiandra GD"/>
          <w:sz w:val="24"/>
          <w:szCs w:val="24"/>
        </w:rPr>
        <w:t>.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  <w:r w:rsidRPr="002D141C">
        <w:rPr>
          <w:rFonts w:ascii="Maiandra GD" w:hAnsi="Maiandra GD"/>
          <w:i/>
          <w:sz w:val="24"/>
          <w:szCs w:val="24"/>
        </w:rPr>
        <w:lastRenderedPageBreak/>
        <w:t>Of Mice and Men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by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John Steinbeck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published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in 1937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2D141C">
        <w:rPr>
          <w:rFonts w:ascii="Maiandra GD" w:hAnsi="Maiandra GD"/>
          <w:sz w:val="24"/>
          <w:szCs w:val="24"/>
        </w:rPr>
        <w:t>If found, please return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this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novel to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or</w:t>
      </w:r>
      <w:proofErr w:type="gramEnd"/>
      <w:r>
        <w:rPr>
          <w:rFonts w:ascii="Maiandra GD" w:hAnsi="Maiandra GD"/>
          <w:sz w:val="24"/>
          <w:szCs w:val="24"/>
        </w:rPr>
        <w:t xml:space="preserve"> Mrs. Clay’s classroom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Room 212</w:t>
      </w:r>
    </w:p>
    <w:p w:rsidR="002D141C" w:rsidRDefault="002D141C" w:rsidP="002D141C">
      <w:pPr>
        <w:pStyle w:val="NoSpacing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  <w:r w:rsidRPr="002D141C">
        <w:rPr>
          <w:rFonts w:ascii="Maiandra GD" w:hAnsi="Maiandra GD"/>
          <w:b/>
          <w:sz w:val="24"/>
          <w:szCs w:val="24"/>
        </w:rPr>
        <w:t>Chapter 1 Annotations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Using post-it </w:t>
      </w:r>
      <w:proofErr w:type="gramStart"/>
      <w:r>
        <w:rPr>
          <w:rFonts w:ascii="Maiandra GD" w:hAnsi="Maiandra GD"/>
          <w:sz w:val="24"/>
          <w:szCs w:val="24"/>
        </w:rPr>
        <w:t>notes,</w:t>
      </w:r>
      <w:proofErr w:type="gramEnd"/>
      <w:r>
        <w:rPr>
          <w:rFonts w:ascii="Maiandra GD" w:hAnsi="Maiandra GD"/>
          <w:sz w:val="24"/>
          <w:szCs w:val="24"/>
        </w:rPr>
        <w:t xml:space="preserve"> make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at</w:t>
      </w:r>
      <w:proofErr w:type="gramEnd"/>
      <w:r>
        <w:rPr>
          <w:rFonts w:ascii="Maiandra GD" w:hAnsi="Maiandra GD"/>
          <w:sz w:val="24"/>
          <w:szCs w:val="24"/>
        </w:rPr>
        <w:t xml:space="preserve"> least 10 annotations on the two main characters: George and Lennie.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Look for details about their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appearance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actions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dialogue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strengths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weaknesses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mannerisms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,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habits/quirks/idiosyncrasies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,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and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relationships to others</w:t>
      </w:r>
      <w:r>
        <w:rPr>
          <w:rFonts w:ascii="Maiandra GD" w:hAnsi="Maiandra GD"/>
          <w:sz w:val="24"/>
          <w:szCs w:val="24"/>
        </w:rPr>
        <w:t>.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  <w:r w:rsidRPr="002D141C">
        <w:rPr>
          <w:rFonts w:ascii="Maiandra GD" w:hAnsi="Maiandra GD"/>
          <w:i/>
          <w:sz w:val="24"/>
          <w:szCs w:val="24"/>
        </w:rPr>
        <w:lastRenderedPageBreak/>
        <w:t>Of Mice and Men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by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John Steinbeck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published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in 1937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2D141C">
        <w:rPr>
          <w:rFonts w:ascii="Maiandra GD" w:hAnsi="Maiandra GD"/>
          <w:sz w:val="24"/>
          <w:szCs w:val="24"/>
        </w:rPr>
        <w:t>If found, please return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this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novel to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or</w:t>
      </w:r>
      <w:proofErr w:type="gramEnd"/>
      <w:r>
        <w:rPr>
          <w:rFonts w:ascii="Maiandra GD" w:hAnsi="Maiandra GD"/>
          <w:sz w:val="24"/>
          <w:szCs w:val="24"/>
        </w:rPr>
        <w:t xml:space="preserve"> Mrs. Clay’s classroom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Room 212</w:t>
      </w:r>
    </w:p>
    <w:p w:rsidR="002D141C" w:rsidRDefault="002D141C" w:rsidP="002D141C">
      <w:pPr>
        <w:pStyle w:val="NoSpacing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  <w:r w:rsidRPr="002D141C">
        <w:rPr>
          <w:rFonts w:ascii="Maiandra GD" w:hAnsi="Maiandra GD"/>
          <w:b/>
          <w:sz w:val="24"/>
          <w:szCs w:val="24"/>
        </w:rPr>
        <w:t>Chapter 1 Annotations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Using post-it </w:t>
      </w:r>
      <w:proofErr w:type="gramStart"/>
      <w:r>
        <w:rPr>
          <w:rFonts w:ascii="Maiandra GD" w:hAnsi="Maiandra GD"/>
          <w:sz w:val="24"/>
          <w:szCs w:val="24"/>
        </w:rPr>
        <w:t>notes,</w:t>
      </w:r>
      <w:proofErr w:type="gramEnd"/>
      <w:r>
        <w:rPr>
          <w:rFonts w:ascii="Maiandra GD" w:hAnsi="Maiandra GD"/>
          <w:sz w:val="24"/>
          <w:szCs w:val="24"/>
        </w:rPr>
        <w:t xml:space="preserve"> make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at</w:t>
      </w:r>
      <w:proofErr w:type="gramEnd"/>
      <w:r>
        <w:rPr>
          <w:rFonts w:ascii="Maiandra GD" w:hAnsi="Maiandra GD"/>
          <w:sz w:val="24"/>
          <w:szCs w:val="24"/>
        </w:rPr>
        <w:t xml:space="preserve"> least 10 annotations on the two main characters: George and Lennie.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Look for details about their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appearance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actions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dialogue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strengths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weaknesses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mannerisms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,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habits/quirks/idiosyncrasies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,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and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relationships to others</w:t>
      </w:r>
      <w:r>
        <w:rPr>
          <w:rFonts w:ascii="Maiandra GD" w:hAnsi="Maiandra GD"/>
          <w:sz w:val="24"/>
          <w:szCs w:val="24"/>
        </w:rPr>
        <w:t>.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  <w:r w:rsidRPr="002D141C">
        <w:rPr>
          <w:rFonts w:ascii="Maiandra GD" w:hAnsi="Maiandra GD"/>
          <w:i/>
          <w:sz w:val="24"/>
          <w:szCs w:val="24"/>
        </w:rPr>
        <w:lastRenderedPageBreak/>
        <w:t>Of Mice and Men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by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John Steinbeck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published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in 1937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2D141C">
        <w:rPr>
          <w:rFonts w:ascii="Maiandra GD" w:hAnsi="Maiandra GD"/>
          <w:sz w:val="24"/>
          <w:szCs w:val="24"/>
        </w:rPr>
        <w:t>If found, please return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this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novel to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or</w:t>
      </w:r>
      <w:proofErr w:type="gramEnd"/>
      <w:r>
        <w:rPr>
          <w:rFonts w:ascii="Maiandra GD" w:hAnsi="Maiandra GD"/>
          <w:sz w:val="24"/>
          <w:szCs w:val="24"/>
        </w:rPr>
        <w:t xml:space="preserve"> Mrs. Clay’s classroom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Room 212</w:t>
      </w:r>
    </w:p>
    <w:p w:rsidR="002D141C" w:rsidRDefault="002D141C" w:rsidP="002D141C">
      <w:pPr>
        <w:pStyle w:val="NoSpacing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  <w:r w:rsidRPr="002D141C">
        <w:rPr>
          <w:rFonts w:ascii="Maiandra GD" w:hAnsi="Maiandra GD"/>
          <w:b/>
          <w:sz w:val="24"/>
          <w:szCs w:val="24"/>
        </w:rPr>
        <w:t>Chapter 1 Annotations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Using post-it </w:t>
      </w:r>
      <w:proofErr w:type="gramStart"/>
      <w:r>
        <w:rPr>
          <w:rFonts w:ascii="Maiandra GD" w:hAnsi="Maiandra GD"/>
          <w:sz w:val="24"/>
          <w:szCs w:val="24"/>
        </w:rPr>
        <w:t>notes,</w:t>
      </w:r>
      <w:proofErr w:type="gramEnd"/>
      <w:r>
        <w:rPr>
          <w:rFonts w:ascii="Maiandra GD" w:hAnsi="Maiandra GD"/>
          <w:sz w:val="24"/>
          <w:szCs w:val="24"/>
        </w:rPr>
        <w:t xml:space="preserve"> make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at</w:t>
      </w:r>
      <w:proofErr w:type="gramEnd"/>
      <w:r>
        <w:rPr>
          <w:rFonts w:ascii="Maiandra GD" w:hAnsi="Maiandra GD"/>
          <w:sz w:val="24"/>
          <w:szCs w:val="24"/>
        </w:rPr>
        <w:t xml:space="preserve"> least 10 annotations on the two main characters: George and Lennie.</w:t>
      </w: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Look for details about their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appearance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actions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dialogue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strengths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weaknesses</w:t>
      </w:r>
      <w:proofErr w:type="gramEnd"/>
      <w:r w:rsidRPr="002D141C">
        <w:rPr>
          <w:rFonts w:ascii="Maiandra GD" w:hAnsi="Maiandra GD"/>
          <w:sz w:val="24"/>
          <w:szCs w:val="24"/>
        </w:rPr>
        <w:t>,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mannerisms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,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habits/quirks/idiosyncrasies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, </w:t>
      </w:r>
    </w:p>
    <w:p w:rsid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2D141C" w:rsidRPr="002D141C" w:rsidRDefault="002D141C" w:rsidP="002D141C">
      <w:pPr>
        <w:pStyle w:val="NoSpacing"/>
        <w:jc w:val="center"/>
        <w:rPr>
          <w:rFonts w:ascii="Maiandra GD" w:hAnsi="Maiandra GD"/>
          <w:sz w:val="24"/>
          <w:szCs w:val="24"/>
        </w:rPr>
      </w:pPr>
      <w:proofErr w:type="gramStart"/>
      <w:r w:rsidRPr="002D141C">
        <w:rPr>
          <w:rFonts w:ascii="Maiandra GD" w:hAnsi="Maiandra GD"/>
          <w:sz w:val="24"/>
          <w:szCs w:val="24"/>
        </w:rPr>
        <w:t>and</w:t>
      </w:r>
      <w:proofErr w:type="gramEnd"/>
      <w:r w:rsidRPr="002D141C">
        <w:rPr>
          <w:rFonts w:ascii="Maiandra GD" w:hAnsi="Maiandra GD"/>
          <w:sz w:val="24"/>
          <w:szCs w:val="24"/>
        </w:rPr>
        <w:t xml:space="preserve"> relationships to others</w:t>
      </w:r>
      <w:r>
        <w:rPr>
          <w:rFonts w:ascii="Maiandra GD" w:hAnsi="Maiandra GD"/>
          <w:sz w:val="24"/>
          <w:szCs w:val="24"/>
        </w:rPr>
        <w:t>.</w:t>
      </w:r>
      <w:bookmarkStart w:id="0" w:name="_GoBack"/>
      <w:bookmarkEnd w:id="0"/>
    </w:p>
    <w:sectPr w:rsidR="002D141C" w:rsidRPr="002D141C" w:rsidSect="002D141C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C"/>
    <w:rsid w:val="002D141C"/>
    <w:rsid w:val="005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cp:lastPrinted>2015-09-30T03:31:00Z</cp:lastPrinted>
  <dcterms:created xsi:type="dcterms:W3CDTF">2015-09-30T03:21:00Z</dcterms:created>
  <dcterms:modified xsi:type="dcterms:W3CDTF">2015-09-30T03:31:00Z</dcterms:modified>
</cp:coreProperties>
</file>